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773" w:type="dxa"/>
        <w:tblInd w:w="-1026" w:type="dxa"/>
        <w:tblLook w:val="04A0" w:firstRow="1" w:lastRow="0" w:firstColumn="1" w:lastColumn="0" w:noHBand="0" w:noVBand="1"/>
      </w:tblPr>
      <w:tblGrid>
        <w:gridCol w:w="1418"/>
        <w:gridCol w:w="2126"/>
        <w:gridCol w:w="4394"/>
        <w:gridCol w:w="2835"/>
      </w:tblGrid>
      <w:tr w:rsidR="00165CB4" w:rsidTr="00165CB4">
        <w:tc>
          <w:tcPr>
            <w:tcW w:w="1418" w:type="dxa"/>
          </w:tcPr>
          <w:p w:rsidR="00165CB4" w:rsidRDefault="00165CB4" w:rsidP="00165CB4">
            <w:r>
              <w:t>PL</w:t>
            </w:r>
          </w:p>
        </w:tc>
        <w:tc>
          <w:tcPr>
            <w:tcW w:w="2126" w:type="dxa"/>
          </w:tcPr>
          <w:p w:rsidR="00165CB4" w:rsidRDefault="00165CB4" w:rsidP="00165CB4">
            <w:r>
              <w:t>Autor</w:t>
            </w:r>
          </w:p>
        </w:tc>
        <w:tc>
          <w:tcPr>
            <w:tcW w:w="4394" w:type="dxa"/>
          </w:tcPr>
          <w:p w:rsidR="00165CB4" w:rsidRDefault="00165CB4" w:rsidP="00165CB4">
            <w:r>
              <w:t>Ementa</w:t>
            </w:r>
          </w:p>
        </w:tc>
        <w:tc>
          <w:tcPr>
            <w:tcW w:w="2835" w:type="dxa"/>
          </w:tcPr>
          <w:p w:rsidR="00165CB4" w:rsidRDefault="00165CB4" w:rsidP="00165CB4">
            <w:r>
              <w:t>Situação</w:t>
            </w:r>
          </w:p>
        </w:tc>
      </w:tr>
      <w:tr w:rsidR="00165CB4" w:rsidTr="00165CB4">
        <w:tc>
          <w:tcPr>
            <w:tcW w:w="1418" w:type="dxa"/>
          </w:tcPr>
          <w:p w:rsidR="00165CB4" w:rsidRDefault="00165CB4" w:rsidP="00165CB4">
            <w:r>
              <w:t>373/2015</w:t>
            </w:r>
          </w:p>
        </w:tc>
        <w:tc>
          <w:tcPr>
            <w:tcW w:w="2126"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Delegado Éder Mauro</w:t>
            </w:r>
          </w:p>
        </w:tc>
        <w:tc>
          <w:tcPr>
            <w:tcW w:w="4394"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 xml:space="preserve">Acrescenta inciso V ao art. 302 do Decreto-Lei nº 3.689, de </w:t>
            </w:r>
            <w:proofErr w:type="gramStart"/>
            <w:r w:rsidRPr="008B1148">
              <w:rPr>
                <w:rFonts w:ascii="Open Sans" w:hAnsi="Open Sans" w:cs="Open Sans"/>
                <w:color w:val="222222"/>
                <w:sz w:val="21"/>
                <w:szCs w:val="21"/>
                <w:shd w:val="clear" w:color="auto" w:fill="FFFFFF"/>
              </w:rPr>
              <w:t>3</w:t>
            </w:r>
            <w:proofErr w:type="gramEnd"/>
            <w:r w:rsidRPr="008B1148">
              <w:rPr>
                <w:rFonts w:ascii="Open Sans" w:hAnsi="Open Sans" w:cs="Open Sans"/>
                <w:color w:val="222222"/>
                <w:sz w:val="21"/>
                <w:szCs w:val="21"/>
                <w:shd w:val="clear" w:color="auto" w:fill="FFFFFF"/>
              </w:rPr>
              <w:t xml:space="preserve"> de outubro de 1941, Código de Processo Penal, para tipificar mais uma hipótese de flagrante, o denominado "flagrante provado".</w:t>
            </w:r>
          </w:p>
        </w:tc>
        <w:tc>
          <w:tcPr>
            <w:tcW w:w="2835"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Pronta para Pauta no PLENÁRIO (PLEN)</w:t>
            </w:r>
          </w:p>
        </w:tc>
      </w:tr>
      <w:tr w:rsidR="00165CB4" w:rsidRPr="008B1148" w:rsidTr="00165CB4">
        <w:tc>
          <w:tcPr>
            <w:tcW w:w="1418"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388/2015</w:t>
            </w:r>
          </w:p>
        </w:tc>
        <w:tc>
          <w:tcPr>
            <w:tcW w:w="2126"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Alberto Fraga</w:t>
            </w:r>
          </w:p>
          <w:p w:rsidR="00165CB4" w:rsidRPr="008B1148" w:rsidRDefault="00165CB4" w:rsidP="00674F2D">
            <w:pPr>
              <w:jc w:val="both"/>
              <w:rPr>
                <w:rFonts w:ascii="Open Sans" w:hAnsi="Open Sans" w:cs="Open Sans"/>
                <w:color w:val="222222"/>
                <w:sz w:val="21"/>
                <w:szCs w:val="21"/>
                <w:shd w:val="clear" w:color="auto" w:fill="FFFFFF"/>
              </w:rPr>
            </w:pPr>
          </w:p>
        </w:tc>
        <w:tc>
          <w:tcPr>
            <w:tcW w:w="4394" w:type="dxa"/>
          </w:tcPr>
          <w:p w:rsidR="00165CB4" w:rsidRPr="008B1148" w:rsidRDefault="00165CB4" w:rsidP="00674F2D">
            <w:pPr>
              <w:pStyle w:val="NormalWeb"/>
              <w:shd w:val="clear" w:color="auto" w:fill="FFFFFF"/>
              <w:spacing w:before="0" w:beforeAutospacing="0" w:after="150" w:afterAutospacing="0"/>
              <w:jc w:val="both"/>
              <w:rPr>
                <w:rFonts w:ascii="Open Sans" w:eastAsiaTheme="minorHAnsi" w:hAnsi="Open Sans" w:cs="Open Sans"/>
                <w:color w:val="222222"/>
                <w:sz w:val="21"/>
                <w:szCs w:val="21"/>
                <w:shd w:val="clear" w:color="auto" w:fill="FFFFFF"/>
                <w:lang w:eastAsia="en-US"/>
              </w:rPr>
            </w:pPr>
            <w:r w:rsidRPr="008B1148">
              <w:rPr>
                <w:rFonts w:ascii="Open Sans" w:eastAsiaTheme="minorHAnsi" w:hAnsi="Open Sans" w:cs="Open Sans"/>
                <w:color w:val="222222"/>
                <w:sz w:val="21"/>
                <w:szCs w:val="21"/>
                <w:shd w:val="clear" w:color="auto" w:fill="FFFFFF"/>
                <w:lang w:eastAsia="en-US"/>
              </w:rPr>
              <w:t xml:space="preserve">Revoga os artigos art. 122, 123, 124 e 125, da Lei no 7.210, de 11 de junho de 1984 - Lei de Execução </w:t>
            </w:r>
            <w:proofErr w:type="gramStart"/>
            <w:r w:rsidRPr="008B1148">
              <w:rPr>
                <w:rFonts w:ascii="Open Sans" w:eastAsiaTheme="minorHAnsi" w:hAnsi="Open Sans" w:cs="Open Sans"/>
                <w:color w:val="222222"/>
                <w:sz w:val="21"/>
                <w:szCs w:val="21"/>
                <w:shd w:val="clear" w:color="auto" w:fill="FFFFFF"/>
                <w:lang w:eastAsia="en-US"/>
              </w:rPr>
              <w:t>Penal.</w:t>
            </w:r>
            <w:proofErr w:type="gramEnd"/>
            <w:r w:rsidRPr="008B1148">
              <w:rPr>
                <w:rFonts w:ascii="Open Sans" w:eastAsiaTheme="minorHAnsi" w:hAnsi="Open Sans" w:cs="Open Sans"/>
                <w:color w:val="222222"/>
                <w:sz w:val="21"/>
                <w:szCs w:val="21"/>
                <w:shd w:val="clear" w:color="auto" w:fill="FFFFFF"/>
                <w:lang w:eastAsia="en-US"/>
              </w:rPr>
              <w:t>(Extingue a saída temporária de presos.)</w:t>
            </w:r>
          </w:p>
        </w:tc>
        <w:tc>
          <w:tcPr>
            <w:tcW w:w="2835" w:type="dxa"/>
          </w:tcPr>
          <w:p w:rsidR="00165CB4" w:rsidRPr="008B1148" w:rsidRDefault="00165CB4" w:rsidP="00674F2D">
            <w:pPr>
              <w:jc w:val="both"/>
              <w:rPr>
                <w:bCs/>
              </w:rPr>
            </w:pPr>
            <w:r w:rsidRPr="008B1148">
              <w:rPr>
                <w:bCs/>
              </w:rPr>
              <w:t>Apensado ao PL 3468/2012.</w:t>
            </w:r>
          </w:p>
          <w:p w:rsidR="00165CB4" w:rsidRPr="008B1148" w:rsidRDefault="00165CB4" w:rsidP="00674F2D">
            <w:pPr>
              <w:jc w:val="both"/>
              <w:rPr>
                <w:b/>
                <w:bCs/>
              </w:rPr>
            </w:pPr>
            <w:r w:rsidRPr="008B1148">
              <w:rPr>
                <w:b/>
                <w:bCs/>
              </w:rPr>
              <w:t>Situação:</w:t>
            </w:r>
            <w:r w:rsidRPr="008B1148">
              <w:rPr>
                <w:rFonts w:ascii="Open Sans" w:hAnsi="Open Sans" w:cs="Open Sans"/>
                <w:color w:val="222222"/>
                <w:sz w:val="21"/>
                <w:szCs w:val="21"/>
                <w:shd w:val="clear" w:color="auto" w:fill="FFFFFF"/>
              </w:rPr>
              <w:t> Pronta para Pauta na Comissão de Constituição e Justiça e de Cidadania (CCJC)</w:t>
            </w:r>
          </w:p>
        </w:tc>
      </w:tr>
      <w:tr w:rsidR="00165CB4" w:rsidRPr="008B1148" w:rsidTr="00165CB4">
        <w:tc>
          <w:tcPr>
            <w:tcW w:w="1418"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4468/2016</w:t>
            </w:r>
          </w:p>
        </w:tc>
        <w:tc>
          <w:tcPr>
            <w:tcW w:w="2126"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Alberto Fraga</w:t>
            </w:r>
          </w:p>
        </w:tc>
        <w:tc>
          <w:tcPr>
            <w:tcW w:w="4394" w:type="dxa"/>
          </w:tcPr>
          <w:p w:rsidR="00165CB4" w:rsidRPr="008B1148" w:rsidRDefault="00165CB4" w:rsidP="00674F2D">
            <w:pPr>
              <w:pStyle w:val="NormalWeb"/>
              <w:shd w:val="clear" w:color="auto" w:fill="FFFFFF"/>
              <w:spacing w:before="0" w:beforeAutospacing="0" w:after="150" w:afterAutospacing="0"/>
              <w:jc w:val="both"/>
              <w:rPr>
                <w:rFonts w:ascii="Open Sans" w:eastAsiaTheme="minorHAnsi" w:hAnsi="Open Sans" w:cs="Open Sans"/>
                <w:color w:val="222222"/>
                <w:sz w:val="21"/>
                <w:szCs w:val="21"/>
                <w:shd w:val="clear" w:color="auto" w:fill="FFFFFF"/>
                <w:lang w:eastAsia="en-US"/>
              </w:rPr>
            </w:pPr>
            <w:r w:rsidRPr="008B1148">
              <w:rPr>
                <w:rFonts w:ascii="Open Sans" w:eastAsiaTheme="minorHAnsi" w:hAnsi="Open Sans" w:cs="Open Sans"/>
                <w:color w:val="222222"/>
                <w:sz w:val="21"/>
                <w:szCs w:val="21"/>
                <w:shd w:val="clear" w:color="auto" w:fill="FFFFFF"/>
                <w:lang w:eastAsia="en-US"/>
              </w:rPr>
              <w:t>Institui o Sistema Nacional de Informações sobre Pessoas Procuradas pela Justiça e dá outras providências.</w:t>
            </w:r>
          </w:p>
        </w:tc>
        <w:tc>
          <w:tcPr>
            <w:tcW w:w="2835" w:type="dxa"/>
          </w:tcPr>
          <w:p w:rsidR="00165CB4" w:rsidRPr="008B1148" w:rsidRDefault="00165CB4" w:rsidP="00674F2D">
            <w:pPr>
              <w:jc w:val="both"/>
              <w:rPr>
                <w:bCs/>
              </w:rPr>
            </w:pPr>
            <w:r w:rsidRPr="008B1148">
              <w:rPr>
                <w:b/>
                <w:bCs/>
              </w:rPr>
              <w:t>Situação:</w:t>
            </w:r>
            <w:r w:rsidRPr="008B1148">
              <w:rPr>
                <w:rFonts w:ascii="Open Sans" w:hAnsi="Open Sans" w:cs="Open Sans"/>
                <w:color w:val="222222"/>
                <w:sz w:val="21"/>
                <w:szCs w:val="21"/>
                <w:shd w:val="clear" w:color="auto" w:fill="FFFFFF"/>
              </w:rPr>
              <w:t> Pronta para Pauta na Comissão de Constituição e Justiça e de Cidadania (CCJC)</w:t>
            </w:r>
          </w:p>
        </w:tc>
      </w:tr>
      <w:tr w:rsidR="00165CB4" w:rsidRPr="008B1148" w:rsidTr="00165CB4">
        <w:tc>
          <w:tcPr>
            <w:tcW w:w="1418"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5062/2016</w:t>
            </w:r>
          </w:p>
        </w:tc>
        <w:tc>
          <w:tcPr>
            <w:tcW w:w="2126"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Cabo Sabino</w:t>
            </w:r>
          </w:p>
        </w:tc>
        <w:tc>
          <w:tcPr>
            <w:tcW w:w="4394"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 xml:space="preserve">Acrescenta </w:t>
            </w:r>
            <w:proofErr w:type="gramStart"/>
            <w:r w:rsidRPr="008B1148">
              <w:rPr>
                <w:rFonts w:ascii="Open Sans" w:hAnsi="Open Sans" w:cs="Open Sans"/>
                <w:color w:val="222222"/>
                <w:sz w:val="21"/>
                <w:szCs w:val="21"/>
                <w:shd w:val="clear" w:color="auto" w:fill="FFFFFF"/>
              </w:rPr>
              <w:t>dispositivos à Lei nº</w:t>
            </w:r>
            <w:proofErr w:type="gramEnd"/>
            <w:r w:rsidRPr="008B1148">
              <w:rPr>
                <w:rFonts w:ascii="Open Sans" w:hAnsi="Open Sans" w:cs="Open Sans"/>
                <w:color w:val="222222"/>
                <w:sz w:val="21"/>
                <w:szCs w:val="21"/>
                <w:shd w:val="clear" w:color="auto" w:fill="FFFFFF"/>
              </w:rPr>
              <w:t xml:space="preserve"> 9.472, de 16 de julho de 1997, caracterizando como infração gravíssima a não instalação, por prestadoras de serviços de telefonia celular, de bloqueadores de sinais em áreas de estabelecimentos prisionais.</w:t>
            </w:r>
          </w:p>
        </w:tc>
        <w:tc>
          <w:tcPr>
            <w:tcW w:w="2835"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Apensado ao PL 2688/2015</w:t>
            </w:r>
          </w:p>
          <w:p w:rsidR="00165CB4" w:rsidRPr="008B1148" w:rsidRDefault="00165CB4" w:rsidP="00674F2D">
            <w:pPr>
              <w:jc w:val="both"/>
              <w:rPr>
                <w:rFonts w:ascii="Open Sans" w:hAnsi="Open Sans" w:cs="Open Sans"/>
                <w:color w:val="222222"/>
                <w:sz w:val="21"/>
                <w:szCs w:val="21"/>
                <w:shd w:val="clear" w:color="auto" w:fill="FFFFFF"/>
              </w:rPr>
            </w:pPr>
            <w:r w:rsidRPr="008B1148">
              <w:rPr>
                <w:b/>
                <w:bCs/>
              </w:rPr>
              <w:t>Situação:</w:t>
            </w:r>
            <w:r w:rsidRPr="008B1148">
              <w:rPr>
                <w:rFonts w:ascii="Open Sans" w:hAnsi="Open Sans" w:cs="Open Sans"/>
                <w:color w:val="222222"/>
                <w:sz w:val="21"/>
                <w:szCs w:val="21"/>
                <w:shd w:val="clear" w:color="auto" w:fill="FFFFFF"/>
              </w:rPr>
              <w:t> Pronta para Pauta no PLENÁRIO (PLEN)</w:t>
            </w:r>
          </w:p>
        </w:tc>
      </w:tr>
      <w:tr w:rsidR="00165CB4" w:rsidRPr="008B1148" w:rsidTr="00165CB4">
        <w:tc>
          <w:tcPr>
            <w:tcW w:w="1418"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8253/2017</w:t>
            </w:r>
          </w:p>
        </w:tc>
        <w:tc>
          <w:tcPr>
            <w:tcW w:w="2126"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Alberto Fraga</w:t>
            </w:r>
          </w:p>
        </w:tc>
        <w:tc>
          <w:tcPr>
            <w:tcW w:w="4394"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Institui o Sistema Nacional de Informações sobre pessoas Desaparecidas, e dá outras providências.</w:t>
            </w:r>
          </w:p>
        </w:tc>
        <w:tc>
          <w:tcPr>
            <w:tcW w:w="2835"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Apensado ao PL 6699/2009</w:t>
            </w:r>
          </w:p>
          <w:p w:rsidR="00165CB4" w:rsidRPr="008B1148" w:rsidRDefault="00165CB4" w:rsidP="00674F2D">
            <w:pPr>
              <w:jc w:val="both"/>
              <w:rPr>
                <w:rFonts w:ascii="Open Sans" w:hAnsi="Open Sans" w:cs="Open Sans"/>
                <w:color w:val="222222"/>
                <w:sz w:val="21"/>
                <w:szCs w:val="21"/>
                <w:shd w:val="clear" w:color="auto" w:fill="FFFFFF"/>
              </w:rPr>
            </w:pPr>
            <w:r w:rsidRPr="008B1148">
              <w:rPr>
                <w:b/>
                <w:bCs/>
              </w:rPr>
              <w:t>Situação:</w:t>
            </w:r>
            <w:r w:rsidRPr="008B1148">
              <w:rPr>
                <w:rFonts w:ascii="Open Sans" w:hAnsi="Open Sans" w:cs="Open Sans"/>
                <w:color w:val="222222"/>
                <w:sz w:val="21"/>
                <w:szCs w:val="21"/>
                <w:shd w:val="clear" w:color="auto" w:fill="FFFFFF"/>
              </w:rPr>
              <w:t> Aguardando Parecer do Relator na Comissão de Segurança Pública e Combate ao Crime Organizado (CSPCCO)</w:t>
            </w:r>
          </w:p>
        </w:tc>
      </w:tr>
      <w:tr w:rsidR="00165CB4" w:rsidRPr="008B1148" w:rsidTr="00165CB4">
        <w:tc>
          <w:tcPr>
            <w:tcW w:w="1418" w:type="dxa"/>
          </w:tcPr>
          <w:p w:rsidR="00165CB4" w:rsidRPr="008B1148" w:rsidRDefault="00165CB4" w:rsidP="00674F2D">
            <w:pPr>
              <w:jc w:val="both"/>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8504/2017</w:t>
            </w:r>
          </w:p>
        </w:tc>
        <w:tc>
          <w:tcPr>
            <w:tcW w:w="2126" w:type="dxa"/>
          </w:tcPr>
          <w:p w:rsidR="00165CB4" w:rsidRPr="008B1148" w:rsidRDefault="00165CB4"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Alberto Fraga</w:t>
            </w:r>
          </w:p>
        </w:tc>
        <w:tc>
          <w:tcPr>
            <w:tcW w:w="4394" w:type="dxa"/>
          </w:tcPr>
          <w:p w:rsidR="00165CB4" w:rsidRPr="008B1148" w:rsidRDefault="00165CB4" w:rsidP="00674F2D">
            <w:pPr>
              <w:jc w:val="both"/>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Alteração, Lei dos Crimes Hediondos, crime hediondo, Lesão corporal dolosa, Lesão corporal gravíssima, Lesão corporal seguida de morte, vítima, profissional de segurança pública, membro, Forças Armadas, sistema carcerário, Força Nacional de Segurança Pública, exercício profissional, preso condenado, regime fechado, ausência, direitos, progressão de regime prisional.</w:t>
            </w:r>
          </w:p>
        </w:tc>
        <w:tc>
          <w:tcPr>
            <w:tcW w:w="2835" w:type="dxa"/>
          </w:tcPr>
          <w:p w:rsidR="00165CB4" w:rsidRDefault="00165CB4" w:rsidP="00674F2D">
            <w:pPr>
              <w:jc w:val="both"/>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Apensado 7676/2014</w:t>
            </w:r>
          </w:p>
          <w:p w:rsidR="00165CB4" w:rsidRPr="008B1148" w:rsidRDefault="00165CB4" w:rsidP="00674F2D">
            <w:pPr>
              <w:jc w:val="both"/>
              <w:rPr>
                <w:rFonts w:ascii="Open Sans" w:hAnsi="Open Sans" w:cs="Open Sans"/>
                <w:color w:val="222222"/>
                <w:sz w:val="21"/>
                <w:szCs w:val="21"/>
                <w:shd w:val="clear" w:color="auto" w:fill="FFFFFF"/>
              </w:rPr>
            </w:pPr>
            <w:r>
              <w:rPr>
                <w:rStyle w:val="Forte"/>
                <w:rFonts w:ascii="Open Sans" w:hAnsi="Open Sans" w:cs="Open Sans"/>
                <w:color w:val="222222"/>
                <w:sz w:val="21"/>
                <w:szCs w:val="21"/>
                <w:shd w:val="clear" w:color="auto" w:fill="FFFFFF"/>
              </w:rPr>
              <w:t>Situação:</w:t>
            </w:r>
            <w:r>
              <w:rPr>
                <w:rFonts w:ascii="Open Sans" w:hAnsi="Open Sans" w:cs="Open Sans"/>
                <w:color w:val="222222"/>
                <w:sz w:val="21"/>
                <w:szCs w:val="21"/>
                <w:shd w:val="clear" w:color="auto" w:fill="FFFFFF"/>
              </w:rPr>
              <w:t> Pronta para Pauta no PLENÁRIO (PLEN)</w:t>
            </w:r>
          </w:p>
        </w:tc>
      </w:tr>
      <w:tr w:rsidR="00871EAF" w:rsidRPr="008B1148" w:rsidTr="00165CB4">
        <w:tc>
          <w:tcPr>
            <w:tcW w:w="1418" w:type="dxa"/>
          </w:tcPr>
          <w:p w:rsidR="00871EAF" w:rsidRDefault="00871EAF" w:rsidP="00674F2D">
            <w:pPr>
              <w:jc w:val="both"/>
              <w:rPr>
                <w:rFonts w:ascii="Open Sans" w:hAnsi="Open Sans" w:cs="Open Sans"/>
                <w:color w:val="222222"/>
                <w:sz w:val="21"/>
                <w:szCs w:val="21"/>
                <w:shd w:val="clear" w:color="auto" w:fill="FFFFFF"/>
              </w:rPr>
            </w:pPr>
            <w:r>
              <w:rPr>
                <w:rFonts w:ascii="Open Sans" w:hAnsi="Open Sans" w:cs="Open Sans"/>
                <w:color w:val="222222"/>
                <w:sz w:val="21"/>
                <w:szCs w:val="21"/>
                <w:shd w:val="clear" w:color="auto" w:fill="FFFFFF"/>
              </w:rPr>
              <w:t>2753/2000</w:t>
            </w:r>
          </w:p>
        </w:tc>
        <w:tc>
          <w:tcPr>
            <w:tcW w:w="2126" w:type="dxa"/>
          </w:tcPr>
          <w:p w:rsidR="00871EAF" w:rsidRPr="008B1148" w:rsidRDefault="00871EAF" w:rsidP="00674F2D">
            <w:pPr>
              <w:jc w:val="both"/>
              <w:rPr>
                <w:rFonts w:ascii="Open Sans" w:hAnsi="Open Sans" w:cs="Open Sans"/>
                <w:color w:val="222222"/>
                <w:sz w:val="21"/>
                <w:szCs w:val="21"/>
                <w:shd w:val="clear" w:color="auto" w:fill="FFFFFF"/>
              </w:rPr>
            </w:pPr>
            <w:r w:rsidRPr="008B1148">
              <w:rPr>
                <w:rFonts w:ascii="Open Sans" w:hAnsi="Open Sans" w:cs="Open Sans"/>
                <w:color w:val="222222"/>
                <w:sz w:val="21"/>
                <w:szCs w:val="21"/>
                <w:shd w:val="clear" w:color="auto" w:fill="FFFFFF"/>
              </w:rPr>
              <w:t>Alberto Fraga</w:t>
            </w:r>
          </w:p>
        </w:tc>
        <w:tc>
          <w:tcPr>
            <w:tcW w:w="4394" w:type="dxa"/>
          </w:tcPr>
          <w:p w:rsidR="00871EAF" w:rsidRPr="00871EAF" w:rsidRDefault="00871EAF" w:rsidP="00871EAF">
            <w:pPr>
              <w:shd w:val="clear" w:color="auto" w:fill="FFFFFF"/>
              <w:spacing w:after="96"/>
              <w:jc w:val="both"/>
              <w:rPr>
                <w:rFonts w:ascii="Open Sans" w:hAnsi="Open Sans" w:cs="Open Sans"/>
                <w:bCs/>
              </w:rPr>
            </w:pPr>
            <w:r w:rsidRPr="00871EAF">
              <w:rPr>
                <w:rFonts w:ascii="Open Sans" w:hAnsi="Open Sans" w:cs="Open Sans"/>
              </w:rPr>
              <w:t>Ementa: </w:t>
            </w:r>
            <w:r w:rsidRPr="00871EAF">
              <w:rPr>
                <w:rFonts w:ascii="Open Sans" w:hAnsi="Open Sans" w:cs="Open Sans"/>
                <w:bCs/>
              </w:rPr>
              <w:t>Disciplina o emprego de algemas por autoridades policiais, e dá outras providências.</w:t>
            </w:r>
          </w:p>
          <w:p w:rsidR="00871EAF" w:rsidRDefault="00871EAF" w:rsidP="00871EAF">
            <w:pPr>
              <w:tabs>
                <w:tab w:val="left" w:pos="1047"/>
              </w:tabs>
              <w:jc w:val="both"/>
              <w:rPr>
                <w:rFonts w:ascii="Open Sans" w:hAnsi="Open Sans" w:cs="Open Sans"/>
                <w:color w:val="222222"/>
                <w:sz w:val="21"/>
                <w:szCs w:val="21"/>
                <w:shd w:val="clear" w:color="auto" w:fill="FFFFFF"/>
              </w:rPr>
            </w:pPr>
          </w:p>
        </w:tc>
        <w:tc>
          <w:tcPr>
            <w:tcW w:w="2835" w:type="dxa"/>
          </w:tcPr>
          <w:p w:rsidR="00871EAF" w:rsidRDefault="00871EAF" w:rsidP="00674F2D">
            <w:pPr>
              <w:jc w:val="both"/>
              <w:rPr>
                <w:rFonts w:ascii="Open Sans" w:hAnsi="Open Sans" w:cs="Open Sans"/>
                <w:color w:val="222222"/>
                <w:sz w:val="21"/>
                <w:szCs w:val="21"/>
                <w:shd w:val="clear" w:color="auto" w:fill="FFFFFF"/>
              </w:rPr>
            </w:pPr>
            <w:r w:rsidRPr="00871EAF">
              <w:rPr>
                <w:b/>
                <w:bCs/>
              </w:rPr>
              <w:t>Situação:</w:t>
            </w:r>
            <w:r>
              <w:rPr>
                <w:rFonts w:ascii="Open Sans" w:hAnsi="Open Sans" w:cs="Open Sans"/>
                <w:color w:val="222222"/>
                <w:sz w:val="21"/>
                <w:szCs w:val="21"/>
                <w:shd w:val="clear" w:color="auto" w:fill="FFFFFF"/>
              </w:rPr>
              <w:t> Pronta para Pauta no PL</w:t>
            </w:r>
            <w:bookmarkStart w:id="0" w:name="_GoBack"/>
            <w:bookmarkEnd w:id="0"/>
            <w:r>
              <w:rPr>
                <w:rFonts w:ascii="Open Sans" w:hAnsi="Open Sans" w:cs="Open Sans"/>
                <w:color w:val="222222"/>
                <w:sz w:val="21"/>
                <w:szCs w:val="21"/>
                <w:shd w:val="clear" w:color="auto" w:fill="FFFFFF"/>
              </w:rPr>
              <w:t>ENÁRIO (PLEN)</w:t>
            </w:r>
          </w:p>
        </w:tc>
      </w:tr>
    </w:tbl>
    <w:p w:rsidR="00AB0E8B" w:rsidRPr="00165CB4" w:rsidRDefault="00871EAF" w:rsidP="00165CB4"/>
    <w:sectPr w:rsidR="00AB0E8B" w:rsidRPr="00165C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98C"/>
    <w:multiLevelType w:val="multilevel"/>
    <w:tmpl w:val="2CD68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B4"/>
    <w:rsid w:val="00120A15"/>
    <w:rsid w:val="00165CB4"/>
    <w:rsid w:val="00871EAF"/>
    <w:rsid w:val="00953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5C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5C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6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5C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6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CAMARA DOS DEPUTADOS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2017-11-06T12:37:00Z</cp:lastPrinted>
  <dcterms:created xsi:type="dcterms:W3CDTF">2017-11-06T12:06:00Z</dcterms:created>
  <dcterms:modified xsi:type="dcterms:W3CDTF">2017-11-06T12:37:00Z</dcterms:modified>
</cp:coreProperties>
</file>